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9D9D9" w:sz="2" w:space="7"/>
          <w:right w:val="none" w:color="auto" w:sz="0" w:space="0"/>
        </w:pBdr>
        <w:shd w:val="clear" w:fill="FFFFFF"/>
        <w:spacing w:before="0" w:beforeAutospacing="0" w:after="0" w:afterAutospacing="0"/>
        <w:ind w:left="0" w:right="0"/>
        <w:jc w:val="center"/>
        <w:rPr>
          <w:rFonts w:ascii="微软雅黑" w:hAnsi="微软雅黑" w:eastAsia="微软雅黑" w:cs="微软雅黑"/>
          <w:color w:val="333333"/>
          <w:sz w:val="45"/>
          <w:szCs w:val="45"/>
        </w:rPr>
      </w:pPr>
      <w:r>
        <w:rPr>
          <w:rFonts w:hint="eastAsia" w:ascii="微软雅黑" w:hAnsi="微软雅黑" w:eastAsia="微软雅黑" w:cs="微软雅黑"/>
          <w:color w:val="333333"/>
          <w:kern w:val="0"/>
          <w:sz w:val="45"/>
          <w:szCs w:val="45"/>
          <w:shd w:val="clear" w:fill="FFFFFF"/>
          <w:lang w:val="en-US" w:eastAsia="zh-CN" w:bidi="ar"/>
        </w:rPr>
        <w:t>济南市公安局主动公开基本目录</w:t>
      </w:r>
    </w:p>
    <w:tbl>
      <w:tblPr>
        <w:tblStyle w:val="3"/>
        <w:tblW w:w="14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4"/>
        <w:gridCol w:w="974"/>
        <w:gridCol w:w="1199"/>
        <w:gridCol w:w="3086"/>
        <w:gridCol w:w="1004"/>
        <w:gridCol w:w="2263"/>
        <w:gridCol w:w="2862"/>
        <w:gridCol w:w="2203"/>
      </w:tblGrid>
      <w:tr>
        <w:tblPrEx>
          <w:tblCellMar>
            <w:top w:w="0" w:type="dxa"/>
            <w:left w:w="0" w:type="dxa"/>
            <w:bottom w:w="0" w:type="dxa"/>
            <w:right w:w="0" w:type="dxa"/>
          </w:tblCellMar>
        </w:tblPrEx>
        <w:trPr>
          <w:trHeight w:val="10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Fonts w:ascii="宋体" w:hAnsi="宋体" w:eastAsia="宋体" w:cs="宋体"/>
                <w:b/>
                <w:bCs/>
                <w:kern w:val="0"/>
                <w:sz w:val="24"/>
                <w:szCs w:val="24"/>
                <w:lang w:val="en-US" w:eastAsia="zh-CN" w:bidi="ar"/>
              </w:rPr>
              <w:t>​</w:t>
            </w:r>
            <w:r>
              <w:rPr>
                <w:rStyle w:val="5"/>
                <w:rFonts w:ascii="宋体" w:hAnsi="宋体" w:eastAsia="宋体" w:cs="宋体"/>
                <w:kern w:val="0"/>
                <w:sz w:val="24"/>
                <w:szCs w:val="24"/>
                <w:lang w:val="en-US" w:eastAsia="zh-CN" w:bidi="ar"/>
              </w:rPr>
              <w:t>事项分类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一级目录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二级目录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公开内容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公开方式</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公开时限</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公开依据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sz w:val="24"/>
                <w:szCs w:val="24"/>
              </w:rPr>
            </w:pPr>
            <w:r>
              <w:rPr>
                <w:rStyle w:val="5"/>
                <w:rFonts w:ascii="宋体" w:hAnsi="宋体" w:eastAsia="宋体" w:cs="宋体"/>
                <w:kern w:val="0"/>
                <w:sz w:val="24"/>
                <w:szCs w:val="24"/>
                <w:lang w:val="en-US" w:eastAsia="zh-CN" w:bidi="ar"/>
              </w:rPr>
              <w:t>公开主体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法定基础内容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机构职能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机关简介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机关简介信息，包含部门职能、机构设置、办公地址、办公时间、联系方式等信息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信息形成或变更之日起20个工作日内公开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《中华人民共和国政府信息公开条例》中华人民共和国国务院令（2019年）第711号、《国务院办公厅关于实施&lt;国务院机构改革和职能转变方案&gt;任务分工的通知》（国办发〔2013〕22号）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Theme="minorEastAsia"/>
                <w:sz w:val="24"/>
                <w:szCs w:val="24"/>
                <w:lang w:val="en-US" w:eastAsia="zh-CN"/>
              </w:rPr>
            </w:pPr>
            <w:r>
              <w:rPr>
                <w:rFonts w:hint="eastAsia"/>
                <w:sz w:val="24"/>
                <w:szCs w:val="24"/>
                <w:lang w:val="en-US" w:eastAsia="zh-CN"/>
              </w:rPr>
              <w:t>干部人事处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领导信息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领导信息，包含部门负责人的姓名、现任职务职级、性别、民族、出生年月、学历学位、政治面貌、照片等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机构设置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机构设置信息，包含内设机构职能、联系电话等信息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履职依据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行政规范性文件</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部门</w:t>
            </w:r>
            <w:r>
              <w:rPr>
                <w:rFonts w:ascii="宋体" w:hAnsi="宋体" w:eastAsia="宋体" w:cs="宋体"/>
                <w:kern w:val="0"/>
                <w:sz w:val="24"/>
                <w:szCs w:val="24"/>
                <w:lang w:val="en-US" w:eastAsia="zh-CN" w:bidi="ar"/>
              </w:rPr>
              <w:t>制发的规范性文件，包含发布机构、标题、正文、文件编号、成文日期、发布日期、有效性等内容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自政府信息形成或者变更之日起20个工作日内</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《中华人民共和国政府信息公开条例》中华人民共和国国务院令（2019年）第711号、《关于废止、修改部分规章、行政规范性文件和一般政策性文件的决定》（中华人民共和国国家发展和改革委员会令第3号）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法制支队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文件清理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部门</w:t>
            </w:r>
            <w:r>
              <w:rPr>
                <w:rFonts w:ascii="宋体" w:hAnsi="宋体" w:eastAsia="宋体" w:cs="宋体"/>
                <w:kern w:val="0"/>
                <w:sz w:val="24"/>
                <w:szCs w:val="24"/>
                <w:lang w:val="en-US" w:eastAsia="zh-CN" w:bidi="ar"/>
              </w:rPr>
              <w:t>发布的规范性文件清理结果信息，包含序号、文件名称、文号、公布日期、规范性文件登记号等内容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自政府信息形成或者变更之日起20个工作日内</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法治支队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部门政策文件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部门制定发布的主动公开类文件，包含发布机构、标题、正文、文件编号、成文日期、发布日期、有效性等内容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自政府信息形成或者变更之日起20个工作日内</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权责清单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本级政府部门权责清单，包含事项编码、实施主体、部门职责、事项类别、实施层级、实施权限、设定依据、直接实施责任、指导监督责任、实施清单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政务服务网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实时更新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法制支队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行政许可和其他对外管理服务信息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本级政府行政许可、其他对外管理服务的依据、条件、程序及决定结果信息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政务服务网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行政许可自作出决定之日起7个工作日内公开，其他信息形成或变更之日起20个工作日内公开</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法制支队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处罚强制信息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本级政府行政处罚、行政强制的依据、条件、程序、办理流程及具有一定社会影响的行政处罚决定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政务服务网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行政处罚信息自作出决定之日起7个工作日内公开，其他信息形成或变更之日起20个工作日内公开</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公务员招考</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招考信息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本级政府公务员招考职位、名额、报考条件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信息形成或变更之日起20个工作日内公开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干部人事处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本级政府公务员招考录用结果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重点领域信息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财政信息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财政预决算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本级政府和部门预决算说明、表格、“三公”经费预决算情况、重点部门的绩效文本、重点项目绩效目标、绩效评价结果、政府债务信息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信息形成或变更之日起20个工作日内公开</w:t>
            </w:r>
          </w:p>
        </w:tc>
        <w:tc>
          <w:tcPr>
            <w:tcW w:w="2865" w:type="dxa"/>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警务保障部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“双随机、一公开”监管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随机抽查事项清单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本级政府部门随机抽查事项清单，包含抽查依据、对象、内容、方式、比例和频次等清单要素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年度公开</w:t>
            </w:r>
          </w:p>
        </w:tc>
        <w:tc>
          <w:tcPr>
            <w:tcW w:w="2865" w:type="dxa"/>
            <w:vMerge w:val="restart"/>
            <w:tcBorders>
              <w:top w:val="single" w:color="000000" w:sz="4" w:space="0"/>
              <w:left w:val="single" w:color="000000" w:sz="4"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法制支队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抽查计划</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本级政府部门公开本部门年度抽查工作计划，包含抽查事项、检查对象、检查时间等信息</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于1月底前公开</w:t>
            </w:r>
          </w:p>
        </w:tc>
        <w:tc>
          <w:tcPr>
            <w:tcW w:w="2865" w:type="dxa"/>
            <w:vMerge w:val="continue"/>
            <w:tcBorders>
              <w:top w:val="single" w:color="000000" w:sz="4" w:space="0"/>
              <w:left w:val="single" w:color="000000" w:sz="4" w:space="0"/>
              <w:bottom w:val="single" w:color="000000" w:sz="6" w:space="0"/>
              <w:right w:val="nil"/>
            </w:tcBorders>
            <w:shd w:val="clear" w:color="auto" w:fill="auto"/>
            <w:vAlign w:val="center"/>
          </w:tcPr>
          <w:p>
            <w:pPr>
              <w:jc w:val="center"/>
              <w:rPr>
                <w:rFonts w:hint="eastAsia" w:ascii="宋体"/>
                <w:sz w:val="24"/>
                <w:szCs w:val="24"/>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法制支队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nil"/>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抽查结果 </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按照抽查计划及时向社会公布抽查情况和抽查结果，包含企业（机构）名称、统一社会信用代码/注册号、检查实施机关、抽查检查事项、检查日期、检查结果等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季度公开，涉及行政处罚的信息自作出决定之日起7个工作日内公开，其他信息形成或变更之日起20个工作日内公开</w:t>
            </w:r>
          </w:p>
        </w:tc>
        <w:tc>
          <w:tcPr>
            <w:tcW w:w="2865" w:type="dxa"/>
            <w:vMerge w:val="continue"/>
            <w:tcBorders>
              <w:top w:val="single" w:color="000000" w:sz="4" w:space="0"/>
              <w:left w:val="single" w:color="000000" w:sz="4" w:space="0"/>
              <w:bottom w:val="single" w:color="000000" w:sz="6" w:space="0"/>
              <w:right w:val="nil"/>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行政执法公示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事前公开</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本级政府部门的执法机构、执法人员、执法职责、执法权限等信息</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年度公开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法制支队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本级政府部门行政执法权力事项的名称、种类、依据、承办机构、办理程序和时限、救济渠道等信息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政务服务网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实时更新</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事后公开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执法结果信息，包含行政执法决定书文号、行政执法相对人名称、行政执法事项名称、主要事实、依据、作出行政执法决定的行政执法机关名称和日期等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行政许可、行政处罚信息自作出决定之日起7个工作日内公开，其他信息形成或变更之日起20个工作日内公开</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上年度行政执法总体情况有关数据，包含行政许可情况、行政处罚情况、行政强制情况、行政征收征用情况、行政检查情况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每年1月31日前公开</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政策解读</w:t>
            </w:r>
          </w:p>
        </w:tc>
        <w:tc>
          <w:tcPr>
            <w:tcW w:w="2175"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文字解读</w:t>
            </w:r>
          </w:p>
        </w:tc>
        <w:tc>
          <w:tcPr>
            <w:tcW w:w="30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政策背景、决策依据、出台目的、重要举措等解读内容要素</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政策文件发布后的3个工作日内</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《中华人民共和国政府信息公开条例》中华人民共和国国务院令（2019年）第711号、《山东省人民政府办公厅关于进一步规范和加强政策解读工作的通知》（鲁政办字〔2021〕115号）</w:t>
            </w:r>
          </w:p>
        </w:tc>
        <w:tc>
          <w:tcPr>
            <w:tcW w:w="220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相关政策制定部门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多形式解读</w:t>
            </w:r>
          </w:p>
        </w:tc>
        <w:tc>
          <w:tcPr>
            <w:tcW w:w="30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图片图表、音频视频、H5动画、卡通动漫等解读信息</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政策文件发布后的3个工作日内</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领导干部解读</w:t>
            </w:r>
          </w:p>
        </w:tc>
        <w:tc>
          <w:tcPr>
            <w:tcW w:w="30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新闻发布会、政策吹风会、媒体访谈、撰写文章等形式</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政策文件发布后的3个工作日内</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专家解读</w:t>
            </w:r>
          </w:p>
        </w:tc>
        <w:tc>
          <w:tcPr>
            <w:tcW w:w="30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掌握相关政策、熟悉有关领域业务的专家学者、专业机构从业人员等第三方主体对政策开展的解读信息</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政策文件发布后的3个工作日内</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媒体解读</w:t>
            </w:r>
          </w:p>
        </w:tc>
        <w:tc>
          <w:tcPr>
            <w:tcW w:w="30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媒体评论文章，包含邀请新闻评论员、媒体记者等对政策开展的解读信息</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政策文件发布后的3个工作日内</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会议信息</w:t>
            </w:r>
          </w:p>
        </w:tc>
        <w:tc>
          <w:tcPr>
            <w:tcW w:w="97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常务会议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部门办公会议</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部门办公会召开情况，包含会议背景、会议内容、议题研究、领导介绍、议题听取等</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实时公开，会议举行的3日内进行公开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会议解读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会议速读版或一图读懂等相关图解、媒体解读、议题解读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会议内容公开后的3日内公开解读</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建议提案办理</w:t>
            </w:r>
          </w:p>
        </w:tc>
        <w:tc>
          <w:tcPr>
            <w:tcW w:w="2175"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办理结果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bookmarkStart w:id="0" w:name="_GoBack"/>
            <w:bookmarkEnd w:id="0"/>
            <w:r>
              <w:rPr>
                <w:rFonts w:ascii="宋体" w:hAnsi="宋体" w:eastAsia="宋体" w:cs="宋体"/>
                <w:kern w:val="0"/>
                <w:sz w:val="24"/>
                <w:szCs w:val="24"/>
                <w:lang w:val="en-US" w:eastAsia="zh-CN" w:bidi="ar"/>
              </w:rPr>
              <w:t>市级人大代表建议、政协提案的办理复文全文或摘要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信息形成或变更之日起20个工作日内公开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《中华人民共和国政府信息公开条例》中华人民共和国国务院令（2019年）第711号、《国务院办公厅关于做好全国人大代表建议和全国政协委员提案办理结果公开工作的通知》（国办发〔2014〕46号）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Theme="minorEastAsia"/>
                <w:sz w:val="24"/>
                <w:szCs w:val="24"/>
                <w:lang w:eastAsia="zh-CN"/>
              </w:rPr>
            </w:pPr>
            <w:r>
              <w:rPr>
                <w:rFonts w:hint="eastAsia"/>
                <w:sz w:val="24"/>
                <w:szCs w:val="24"/>
                <w:lang w:eastAsia="zh-CN"/>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175"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总体情况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建议提案办理的总体情况，包含建议提案数量、总体情况、吸收采纳情况、下一步措施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年度公开</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基础建设</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政府信息公开指南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本部门政府信息公开指南，包含主动公开政府信息、依申请公开信息、不予公开信息、政府信息公开工作机构、监督和救济渠道等内容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年度更新，根据变动及时更新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Theme="minorEastAsia"/>
                <w:sz w:val="24"/>
                <w:szCs w:val="24"/>
                <w:lang w:eastAsia="zh-CN"/>
              </w:rPr>
            </w:pPr>
            <w:r>
              <w:rPr>
                <w:rFonts w:hint="eastAsia"/>
                <w:sz w:val="24"/>
                <w:szCs w:val="24"/>
                <w:lang w:eastAsia="zh-CN"/>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政府信息公开年报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部门年报</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部门政府信息公开年报及年报解读信息，包含总体情况、主动公开政府信息情况、收到和处理政府信息公开申请情况、政府信息公开行政复议及行政诉讼情况、存在的主要问题及改进情况、其他需要报告的事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于1月31日之前公开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《国务院办公厅政府信息与政务公开办公室关于印发&lt;中华人民共和国政府信息公开工作年度报告格式&gt;的通知》（国办公开办函〔2021〕30号）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机制建设</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工作机构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明确政务公开工作机构，包含相关机构职能、机构地址等信息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年度公开</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业务培训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培训计划</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政务公开业务培训计划，包含培训地点、培训人员、培训内容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每年于4月底前公开</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开展情况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政务公开业务培训开展情况，包含培训流程、培训方式、培训时间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根据计划实际开展培训</w:t>
            </w: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工作推进</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实施方案或工作措施</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本级政府部门政务公开工作实施方案、解读信息</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政府网站</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市政府公开政务公开工作要点之后一个月内</w:t>
            </w:r>
          </w:p>
        </w:tc>
        <w:tc>
          <w:tcPr>
            <w:tcW w:w="2865" w:type="dxa"/>
            <w:vMerge w:val="restart"/>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ascii="宋体" w:hAnsi="宋体" w:eastAsia="宋体" w:cs="宋体"/>
                <w:kern w:val="0"/>
                <w:sz w:val="24"/>
                <w:szCs w:val="24"/>
                <w:lang w:val="en-US" w:eastAsia="zh-CN" w:bidi="ar"/>
              </w:rPr>
              <w:t>《中华人民共和国政府信息公开条例》中华人民共和国国务院令（2019年）第711号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c>
          <w:tcPr>
            <w:tcW w:w="2865" w:type="dxa"/>
            <w:vMerge w:val="continue"/>
            <w:tcBorders>
              <w:top w:val="single" w:color="000000" w:sz="4" w:space="0"/>
              <w:left w:val="single" w:color="000000" w:sz="4" w:space="0"/>
              <w:bottom w:val="single" w:color="000000" w:sz="6" w:space="0"/>
              <w:right w:val="single" w:color="000000" w:sz="4" w:space="0"/>
            </w:tcBorders>
            <w:shd w:val="clear" w:color="auto" w:fill="auto"/>
            <w:vAlign w:val="center"/>
          </w:tcPr>
          <w:p>
            <w:pPr>
              <w:jc w:val="center"/>
              <w:rPr>
                <w:rFonts w:hint="eastAsia" w:ascii="宋体"/>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sz w:val="24"/>
                <w:szCs w:val="24"/>
              </w:rPr>
            </w:pPr>
          </w:p>
        </w:tc>
      </w:tr>
    </w:tbl>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14AF5B5A"/>
    <w:rsid w:val="15DE3848"/>
    <w:rsid w:val="425B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3244</Words>
  <Characters>3360</Characters>
  <Lines>0</Lines>
  <Paragraphs>0</Paragraphs>
  <TotalTime>76</TotalTime>
  <ScaleCrop>false</ScaleCrop>
  <LinksUpToDate>false</LinksUpToDate>
  <CharactersWithSpaces>3362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2024-06-20T03:21:00Z</dcterms:created>
  <dc:creator>Administrator</dc:creator>
  <cp:lastModifiedBy>山风</cp:lastModifiedBy>
  <dcterms:modified xsi:type="dcterms:W3CDTF">2024-06-20T08:03:00Z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587B5BF1EA174E53A7B522A53F97D20A_13</vt:lpwstr>
  </property>
</Properties>
</file>